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0369A1"/>
          <w:sz w:val="30"/>
        </w:rPr>
        <w:t>NIST AI RMF One-Page Worksheet for Small Teams</w:t>
      </w:r>
    </w:p>
    <w:p>
      <w:pPr>
        <w:spacing w:after="80" w:before="0"/>
      </w:pPr>
      <w:r>
        <w:rPr>
          <w:b w:val="0"/>
          <w:i/>
          <w:color w:val="64748B"/>
          <w:sz w:val="16"/>
        </w:rPr>
        <w:t>Govern, Map, Measure, Manage on one page. Based on NIST AI 100-1 (AI RMF 1.0). Bracketed numbers are the AI RMF subcategories each block or field supports.</w:t>
      </w:r>
    </w:p>
    <w:p>
      <w:pPr>
        <w:spacing w:after="40" w:before="0"/>
      </w:pPr>
      <w:r>
        <w:rPr>
          <w:b/>
          <w:i w:val="0"/>
          <w:color w:val="0369A1"/>
          <w:sz w:val="18"/>
        </w:rPr>
        <w:t>1. GOVERN: who owns AI risk and what the rules are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rPr>
          <w:trHeight w:val="374" w:hRule="atLeast"/>
        </w:trPr>
        <w:tc>
          <w:tcPr>
            <w:tcW w:type="dxa" w:w="3491"/>
            <w:shd w:val="clear" w:color="auto" w:fill="F0F9FF"/>
          </w:tcPr>
          <w:p>
            <w:r>
              <w:rPr>
                <w:b/>
                <w:i w:val="0"/>
                <w:sz w:val="15"/>
              </w:rPr>
              <w:t>AI risk owner [Govern 2.3]</w:t>
            </w:r>
          </w:p>
        </w:tc>
        <w:tc>
          <w:tcPr>
            <w:tcW w:type="dxa" w:w="3781"/>
          </w:tcPr>
          <w:p/>
        </w:tc>
        <w:tc>
          <w:tcPr>
            <w:tcW w:type="dxa" w:w="2618"/>
            <w:shd w:val="clear" w:color="auto" w:fill="F0F9FF"/>
          </w:tcPr>
          <w:p>
            <w:r>
              <w:rPr>
                <w:b/>
                <w:i w:val="0"/>
                <w:sz w:val="15"/>
              </w:rPr>
              <w:t>Date completed</w:t>
            </w:r>
          </w:p>
        </w:tc>
        <w:tc>
          <w:tcPr>
            <w:tcW w:type="dxa" w:w="4654"/>
          </w:tcPr>
          <w:p/>
        </w:tc>
      </w:tr>
      <w:tr>
        <w:trPr>
          <w:trHeight w:val="374" w:hRule="atLeast"/>
        </w:trPr>
        <w:tc>
          <w:tcPr>
            <w:tcW w:type="dxa" w:w="3491"/>
            <w:shd w:val="clear" w:color="auto" w:fill="F0F9FF"/>
          </w:tcPr>
          <w:p>
            <w:r>
              <w:rPr>
                <w:b/>
                <w:i w:val="0"/>
                <w:sz w:val="15"/>
              </w:rPr>
              <w:t>AI acceptable-use policy adopted on [Govern 1.2, 2.1]</w:t>
            </w:r>
          </w:p>
        </w:tc>
        <w:tc>
          <w:tcPr>
            <w:tcW w:type="dxa" w:w="3781"/>
          </w:tcPr>
          <w:p/>
        </w:tc>
        <w:tc>
          <w:tcPr>
            <w:tcW w:type="dxa" w:w="2618"/>
            <w:shd w:val="clear" w:color="auto" w:fill="F0F9FF"/>
          </w:tcPr>
          <w:p>
            <w:r>
              <w:rPr>
                <w:b/>
                <w:i w:val="0"/>
                <w:sz w:val="15"/>
              </w:rPr>
              <w:t>Approved-tool list kept at</w:t>
            </w:r>
          </w:p>
        </w:tc>
        <w:tc>
          <w:tcPr>
            <w:tcW w:type="dxa" w:w="4654"/>
          </w:tcPr>
          <w:p/>
        </w:tc>
      </w:tr>
      <w:tr>
        <w:trPr>
          <w:trHeight w:val="374" w:hRule="atLeast"/>
        </w:trPr>
        <w:tc>
          <w:tcPr>
            <w:tcW w:type="dxa" w:w="3491"/>
            <w:shd w:val="clear" w:color="auto" w:fill="F0F9FF"/>
          </w:tcPr>
          <w:p>
            <w:r>
              <w:rPr>
                <w:b/>
                <w:i w:val="0"/>
                <w:sz w:val="15"/>
              </w:rPr>
              <w:t>How staff report an AI problem [Govern 2.1, 4.3]</w:t>
            </w:r>
          </w:p>
        </w:tc>
        <w:tc>
          <w:tcPr>
            <w:tcW w:type="dxa" w:w="3781"/>
          </w:tcPr>
          <w:p/>
        </w:tc>
        <w:tc>
          <w:tcPr>
            <w:tcW w:type="dxa" w:w="2618"/>
            <w:shd w:val="clear" w:color="auto" w:fill="F0F9FF"/>
          </w:tcPr>
          <w:p>
            <w:r>
              <w:rPr>
                <w:b/>
                <w:i w:val="0"/>
                <w:sz w:val="15"/>
              </w:rPr>
              <w:t>Next review date [Govern 1.5]</w:t>
            </w:r>
          </w:p>
        </w:tc>
        <w:tc>
          <w:tcPr>
            <w:tcW w:type="dxa" w:w="4654"/>
          </w:tcPr>
          <w:p/>
        </w:tc>
      </w:tr>
    </w:tbl>
    <w:p>
      <w:pPr>
        <w:spacing w:after="40" w:before="120"/>
      </w:pPr>
      <w:r>
        <w:rPr>
          <w:b/>
          <w:i w:val="0"/>
          <w:color w:val="0369A1"/>
          <w:sz w:val="18"/>
        </w:rPr>
        <w:t>2. AI USE REGISTER: one row per AI tool or AI feature, approved or not [Govern 1.6, Map 1.1, Map 4.1, Govern 6.1, Measure 1.1, Measure 2.5, Manage 1.3, Manage 3.1]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616"/>
        <w:gridCol w:w="1616"/>
        <w:gridCol w:w="1616"/>
        <w:gridCol w:w="1616"/>
        <w:gridCol w:w="1616"/>
        <w:gridCol w:w="1616"/>
        <w:gridCol w:w="1616"/>
        <w:gridCol w:w="1616"/>
        <w:gridCol w:w="1616"/>
      </w:tblGrid>
      <w:tr>
        <w:trPr>
          <w:trHeight w:val="432" w:hRule="atLeast"/>
        </w:trPr>
        <w:tc>
          <w:tcPr>
            <w:tcW w:type="dxa" w:w="1673"/>
            <w:shd w:val="clear" w:color="auto" w:fill="E0F2FE"/>
          </w:tcPr>
          <w:p>
            <w:r>
              <w:rPr>
                <w:b/>
                <w:i w:val="0"/>
                <w:sz w:val="14"/>
              </w:rPr>
              <w:t>AI tool or feature</w:t>
            </w:r>
          </w:p>
        </w:tc>
        <w:tc>
          <w:tcPr>
            <w:tcW w:type="dxa" w:w="1454"/>
            <w:shd w:val="clear" w:color="auto" w:fill="E0F2FE"/>
          </w:tcPr>
          <w:p>
            <w:r>
              <w:rPr>
                <w:b/>
                <w:i w:val="0"/>
                <w:sz w:val="14"/>
              </w:rPr>
              <w:t>Used for</w:t>
            </w:r>
          </w:p>
        </w:tc>
        <w:tc>
          <w:tcPr>
            <w:tcW w:type="dxa" w:w="1600"/>
            <w:shd w:val="clear" w:color="auto" w:fill="E0F2FE"/>
          </w:tcPr>
          <w:p>
            <w:r>
              <w:rPr>
                <w:b/>
                <w:i w:val="0"/>
                <w:sz w:val="14"/>
              </w:rPr>
              <w:t>Data it touches</w:t>
            </w:r>
          </w:p>
        </w:tc>
        <w:tc>
          <w:tcPr>
            <w:tcW w:type="dxa" w:w="1454"/>
            <w:shd w:val="clear" w:color="auto" w:fill="E0F2FE"/>
          </w:tcPr>
          <w:p>
            <w:r>
              <w:rPr>
                <w:b/>
                <w:i w:val="0"/>
                <w:sz w:val="14"/>
              </w:rPr>
              <w:t>Whose outcome it affects</w:t>
            </w:r>
          </w:p>
        </w:tc>
        <w:tc>
          <w:tcPr>
            <w:tcW w:type="dxa" w:w="873"/>
            <w:shd w:val="clear" w:color="auto" w:fill="E0F2FE"/>
          </w:tcPr>
          <w:p>
            <w:r>
              <w:rPr>
                <w:b/>
                <w:i w:val="0"/>
                <w:sz w:val="14"/>
              </w:rPr>
              <w:t>High impact? Y/N</w:t>
            </w:r>
          </w:p>
        </w:tc>
        <w:tc>
          <w:tcPr>
            <w:tcW w:type="dxa" w:w="2036"/>
            <w:shd w:val="clear" w:color="auto" w:fill="E0F2FE"/>
          </w:tcPr>
          <w:p>
            <w:r>
              <w:rPr>
                <w:b/>
                <w:i w:val="0"/>
                <w:sz w:val="14"/>
              </w:rPr>
              <w:t>Vendor terms checked (training on our inputs? data location? who owns output? BAA if health data?) + date</w:t>
            </w:r>
          </w:p>
        </w:tc>
        <w:tc>
          <w:tcPr>
            <w:tcW w:type="dxa" w:w="2036"/>
            <w:shd w:val="clear" w:color="auto" w:fill="E0F2FE"/>
          </w:tcPr>
          <w:p>
            <w:r>
              <w:rPr>
                <w:b/>
                <w:i w:val="0"/>
                <w:sz w:val="14"/>
              </w:rPr>
              <w:t>Tested how, result, date (high impact only)</w:t>
            </w:r>
          </w:p>
        </w:tc>
        <w:tc>
          <w:tcPr>
            <w:tcW w:type="dxa" w:w="2109"/>
            <w:shd w:val="clear" w:color="auto" w:fill="E0F2FE"/>
          </w:tcPr>
          <w:p>
            <w:r>
              <w:rPr>
                <w:b/>
                <w:i w:val="0"/>
                <w:sz w:val="14"/>
              </w:rPr>
              <w:t>Response + control</w:t>
            </w:r>
          </w:p>
        </w:tc>
        <w:tc>
          <w:tcPr>
            <w:tcW w:type="dxa" w:w="1309"/>
            <w:shd w:val="clear" w:color="auto" w:fill="E0F2FE"/>
          </w:tcPr>
          <w:p>
            <w:r>
              <w:rPr>
                <w:b/>
                <w:i w:val="0"/>
                <w:sz w:val="14"/>
              </w:rPr>
              <w:t>Owner</w:t>
            </w:r>
          </w:p>
        </w:tc>
      </w:tr>
      <w:tr>
        <w:trPr>
          <w:trHeight w:val="432" w:hRule="atLeast"/>
        </w:trPr>
        <w:tc>
          <w:tcPr>
            <w:tcW w:type="dxa" w:w="1673"/>
            <w:shd w:val="clear" w:color="auto" w:fill="F8FAFC"/>
          </w:tcPr>
          <w:p>
            <w:r>
              <w:rPr>
                <w:b w:val="0"/>
                <w:i/>
                <w:sz w:val="14"/>
              </w:rPr>
              <w:t>Example: AI meeting-notes feature in our video-call software</w:t>
            </w:r>
          </w:p>
        </w:tc>
        <w:tc>
          <w:tcPr>
            <w:tcW w:type="dxa" w:w="1454"/>
            <w:shd w:val="clear" w:color="auto" w:fill="F8FAFC"/>
          </w:tcPr>
          <w:p>
            <w:r>
              <w:rPr>
                <w:b w:val="0"/>
                <w:i/>
                <w:sz w:val="14"/>
              </w:rPr>
              <w:t>Summaries of client calls</w:t>
            </w:r>
          </w:p>
        </w:tc>
        <w:tc>
          <w:tcPr>
            <w:tcW w:type="dxa" w:w="1600"/>
            <w:shd w:val="clear" w:color="auto" w:fill="F8FAFC"/>
          </w:tcPr>
          <w:p>
            <w:r>
              <w:rPr>
                <w:b w:val="0"/>
                <w:i/>
                <w:sz w:val="14"/>
              </w:rPr>
              <w:t>Client names, project details</w:t>
            </w:r>
          </w:p>
        </w:tc>
        <w:tc>
          <w:tcPr>
            <w:tcW w:type="dxa" w:w="1454"/>
            <w:shd w:val="clear" w:color="auto" w:fill="F8FAFC"/>
          </w:tcPr>
          <w:p>
            <w:r>
              <w:rPr>
                <w:b w:val="0"/>
                <w:i/>
                <w:sz w:val="14"/>
              </w:rPr>
              <w:t>Clients (summaries are emailed to them)</w:t>
            </w:r>
          </w:p>
        </w:tc>
        <w:tc>
          <w:tcPr>
            <w:tcW w:type="dxa" w:w="873"/>
            <w:shd w:val="clear" w:color="auto" w:fill="F8FAFC"/>
          </w:tcPr>
          <w:p>
            <w:r>
              <w:rPr>
                <w:b w:val="0"/>
                <w:i/>
                <w:sz w:val="14"/>
              </w:rPr>
              <w:t>Y</w:t>
            </w:r>
          </w:p>
        </w:tc>
        <w:tc>
          <w:tcPr>
            <w:tcW w:type="dxa" w:w="2036"/>
            <w:shd w:val="clear" w:color="auto" w:fill="F8FAFC"/>
          </w:tcPr>
          <w:p>
            <w:r>
              <w:rPr>
                <w:b w:val="0"/>
                <w:i/>
                <w:sz w:val="14"/>
              </w:rPr>
              <w:t>Training: [Y/N]; data in: [country]; output: ours; per contract, checked [date]</w:t>
            </w:r>
          </w:p>
        </w:tc>
        <w:tc>
          <w:tcPr>
            <w:tcW w:type="dxa" w:w="2036"/>
            <w:shd w:val="clear" w:color="auto" w:fill="F8FAFC"/>
          </w:tcPr>
          <w:p>
            <w:r>
              <w:rPr>
                <w:b w:val="0"/>
                <w:i/>
                <w:sz w:val="14"/>
              </w:rPr>
              <w:t>Compared 3 summaries to the recordings; 1 wrong action item, [date]</w:t>
            </w:r>
          </w:p>
        </w:tc>
        <w:tc>
          <w:tcPr>
            <w:tcW w:type="dxa" w:w="2109"/>
            <w:shd w:val="clear" w:color="auto" w:fill="F8FAFC"/>
          </w:tcPr>
          <w:p>
            <w:r>
              <w:rPr>
                <w:b w:val="0"/>
                <w:i/>
                <w:sz w:val="14"/>
              </w:rPr>
              <w:t>Mitigate: host reads and corrects every summary before it is sent</w:t>
            </w:r>
          </w:p>
        </w:tc>
        <w:tc>
          <w:tcPr>
            <w:tcW w:type="dxa" w:w="1309"/>
            <w:shd w:val="clear" w:color="auto" w:fill="F8FAFC"/>
          </w:tcPr>
          <w:p>
            <w:r>
              <w:rPr>
                <w:b w:val="0"/>
                <w:i/>
                <w:sz w:val="14"/>
              </w:rPr>
              <w:t>[Name]</w:t>
            </w:r>
          </w:p>
        </w:tc>
      </w:tr>
      <w:tr>
        <w:trPr>
          <w:trHeight w:val="432" w:hRule="atLeast"/>
        </w:trPr>
        <w:tc>
          <w:tcPr>
            <w:tcW w:type="dxa" w:w="1673"/>
          </w:tcPr>
          <w:p/>
        </w:tc>
        <w:tc>
          <w:tcPr>
            <w:tcW w:type="dxa" w:w="1454"/>
          </w:tcPr>
          <w:p/>
        </w:tc>
        <w:tc>
          <w:tcPr>
            <w:tcW w:type="dxa" w:w="1600"/>
          </w:tcPr>
          <w:p/>
        </w:tc>
        <w:tc>
          <w:tcPr>
            <w:tcW w:type="dxa" w:w="1454"/>
          </w:tcPr>
          <w:p/>
        </w:tc>
        <w:tc>
          <w:tcPr>
            <w:tcW w:type="dxa" w:w="873"/>
          </w:tcPr>
          <w:p/>
        </w:tc>
        <w:tc>
          <w:tcPr>
            <w:tcW w:type="dxa" w:w="2036"/>
          </w:tcPr>
          <w:p/>
        </w:tc>
        <w:tc>
          <w:tcPr>
            <w:tcW w:type="dxa" w:w="2036"/>
          </w:tcPr>
          <w:p/>
        </w:tc>
        <w:tc>
          <w:tcPr>
            <w:tcW w:type="dxa" w:w="2109"/>
          </w:tcPr>
          <w:p/>
        </w:tc>
        <w:tc>
          <w:tcPr>
            <w:tcW w:type="dxa" w:w="1309"/>
          </w:tcPr>
          <w:p/>
        </w:tc>
      </w:tr>
      <w:tr>
        <w:trPr>
          <w:trHeight w:val="432" w:hRule="atLeast"/>
        </w:trPr>
        <w:tc>
          <w:tcPr>
            <w:tcW w:type="dxa" w:w="1673"/>
          </w:tcPr>
          <w:p/>
        </w:tc>
        <w:tc>
          <w:tcPr>
            <w:tcW w:type="dxa" w:w="1454"/>
          </w:tcPr>
          <w:p/>
        </w:tc>
        <w:tc>
          <w:tcPr>
            <w:tcW w:type="dxa" w:w="1600"/>
          </w:tcPr>
          <w:p/>
        </w:tc>
        <w:tc>
          <w:tcPr>
            <w:tcW w:type="dxa" w:w="1454"/>
          </w:tcPr>
          <w:p/>
        </w:tc>
        <w:tc>
          <w:tcPr>
            <w:tcW w:type="dxa" w:w="873"/>
          </w:tcPr>
          <w:p/>
        </w:tc>
        <w:tc>
          <w:tcPr>
            <w:tcW w:type="dxa" w:w="2036"/>
          </w:tcPr>
          <w:p/>
        </w:tc>
        <w:tc>
          <w:tcPr>
            <w:tcW w:type="dxa" w:w="2036"/>
          </w:tcPr>
          <w:p/>
        </w:tc>
        <w:tc>
          <w:tcPr>
            <w:tcW w:type="dxa" w:w="2109"/>
          </w:tcPr>
          <w:p/>
        </w:tc>
        <w:tc>
          <w:tcPr>
            <w:tcW w:type="dxa" w:w="1309"/>
          </w:tcPr>
          <w:p/>
        </w:tc>
      </w:tr>
      <w:tr>
        <w:trPr>
          <w:trHeight w:val="432" w:hRule="atLeast"/>
        </w:trPr>
        <w:tc>
          <w:tcPr>
            <w:tcW w:type="dxa" w:w="1673"/>
          </w:tcPr>
          <w:p/>
        </w:tc>
        <w:tc>
          <w:tcPr>
            <w:tcW w:type="dxa" w:w="1454"/>
          </w:tcPr>
          <w:p/>
        </w:tc>
        <w:tc>
          <w:tcPr>
            <w:tcW w:type="dxa" w:w="1600"/>
          </w:tcPr>
          <w:p/>
        </w:tc>
        <w:tc>
          <w:tcPr>
            <w:tcW w:type="dxa" w:w="1454"/>
          </w:tcPr>
          <w:p/>
        </w:tc>
        <w:tc>
          <w:tcPr>
            <w:tcW w:type="dxa" w:w="873"/>
          </w:tcPr>
          <w:p/>
        </w:tc>
        <w:tc>
          <w:tcPr>
            <w:tcW w:type="dxa" w:w="2036"/>
          </w:tcPr>
          <w:p/>
        </w:tc>
        <w:tc>
          <w:tcPr>
            <w:tcW w:type="dxa" w:w="2036"/>
          </w:tcPr>
          <w:p/>
        </w:tc>
        <w:tc>
          <w:tcPr>
            <w:tcW w:type="dxa" w:w="2109"/>
          </w:tcPr>
          <w:p/>
        </w:tc>
        <w:tc>
          <w:tcPr>
            <w:tcW w:type="dxa" w:w="1309"/>
          </w:tcPr>
          <w:p/>
        </w:tc>
      </w:tr>
      <w:tr>
        <w:trPr>
          <w:trHeight w:val="432" w:hRule="atLeast"/>
        </w:trPr>
        <w:tc>
          <w:tcPr>
            <w:tcW w:type="dxa" w:w="1673"/>
          </w:tcPr>
          <w:p/>
        </w:tc>
        <w:tc>
          <w:tcPr>
            <w:tcW w:type="dxa" w:w="1454"/>
          </w:tcPr>
          <w:p/>
        </w:tc>
        <w:tc>
          <w:tcPr>
            <w:tcW w:type="dxa" w:w="1600"/>
          </w:tcPr>
          <w:p/>
        </w:tc>
        <w:tc>
          <w:tcPr>
            <w:tcW w:type="dxa" w:w="1454"/>
          </w:tcPr>
          <w:p/>
        </w:tc>
        <w:tc>
          <w:tcPr>
            <w:tcW w:type="dxa" w:w="873"/>
          </w:tcPr>
          <w:p/>
        </w:tc>
        <w:tc>
          <w:tcPr>
            <w:tcW w:type="dxa" w:w="2036"/>
          </w:tcPr>
          <w:p/>
        </w:tc>
        <w:tc>
          <w:tcPr>
            <w:tcW w:type="dxa" w:w="2036"/>
          </w:tcPr>
          <w:p/>
        </w:tc>
        <w:tc>
          <w:tcPr>
            <w:tcW w:type="dxa" w:w="2109"/>
          </w:tcPr>
          <w:p/>
        </w:tc>
        <w:tc>
          <w:tcPr>
            <w:tcW w:type="dxa" w:w="1309"/>
          </w:tcPr>
          <w:p/>
        </w:tc>
      </w:tr>
      <w:tr>
        <w:trPr>
          <w:trHeight w:val="432" w:hRule="atLeast"/>
        </w:trPr>
        <w:tc>
          <w:tcPr>
            <w:tcW w:type="dxa" w:w="1673"/>
          </w:tcPr>
          <w:p/>
        </w:tc>
        <w:tc>
          <w:tcPr>
            <w:tcW w:type="dxa" w:w="1454"/>
          </w:tcPr>
          <w:p/>
        </w:tc>
        <w:tc>
          <w:tcPr>
            <w:tcW w:type="dxa" w:w="1600"/>
          </w:tcPr>
          <w:p/>
        </w:tc>
        <w:tc>
          <w:tcPr>
            <w:tcW w:type="dxa" w:w="1454"/>
          </w:tcPr>
          <w:p/>
        </w:tc>
        <w:tc>
          <w:tcPr>
            <w:tcW w:type="dxa" w:w="873"/>
          </w:tcPr>
          <w:p/>
        </w:tc>
        <w:tc>
          <w:tcPr>
            <w:tcW w:type="dxa" w:w="2036"/>
          </w:tcPr>
          <w:p/>
        </w:tc>
        <w:tc>
          <w:tcPr>
            <w:tcW w:type="dxa" w:w="2036"/>
          </w:tcPr>
          <w:p/>
        </w:tc>
        <w:tc>
          <w:tcPr>
            <w:tcW w:type="dxa" w:w="2109"/>
          </w:tcPr>
          <w:p/>
        </w:tc>
        <w:tc>
          <w:tcPr>
            <w:tcW w:type="dxa" w:w="1309"/>
          </w:tcPr>
          <w:p/>
        </w:tc>
      </w:tr>
      <w:tr>
        <w:trPr>
          <w:trHeight w:val="432" w:hRule="atLeast"/>
        </w:trPr>
        <w:tc>
          <w:tcPr>
            <w:tcW w:type="dxa" w:w="1673"/>
          </w:tcPr>
          <w:p/>
        </w:tc>
        <w:tc>
          <w:tcPr>
            <w:tcW w:type="dxa" w:w="1454"/>
          </w:tcPr>
          <w:p/>
        </w:tc>
        <w:tc>
          <w:tcPr>
            <w:tcW w:type="dxa" w:w="1600"/>
          </w:tcPr>
          <w:p/>
        </w:tc>
        <w:tc>
          <w:tcPr>
            <w:tcW w:type="dxa" w:w="1454"/>
          </w:tcPr>
          <w:p/>
        </w:tc>
        <w:tc>
          <w:tcPr>
            <w:tcW w:type="dxa" w:w="873"/>
          </w:tcPr>
          <w:p/>
        </w:tc>
        <w:tc>
          <w:tcPr>
            <w:tcW w:type="dxa" w:w="2036"/>
          </w:tcPr>
          <w:p/>
        </w:tc>
        <w:tc>
          <w:tcPr>
            <w:tcW w:type="dxa" w:w="2036"/>
          </w:tcPr>
          <w:p/>
        </w:tc>
        <w:tc>
          <w:tcPr>
            <w:tcW w:type="dxa" w:w="2109"/>
          </w:tcPr>
          <w:p/>
        </w:tc>
        <w:tc>
          <w:tcPr>
            <w:tcW w:type="dxa" w:w="1309"/>
          </w:tcPr>
          <w:p/>
        </w:tc>
      </w:tr>
      <w:tr>
        <w:trPr>
          <w:trHeight w:val="432" w:hRule="atLeast"/>
        </w:trPr>
        <w:tc>
          <w:tcPr>
            <w:tcW w:type="dxa" w:w="1673"/>
          </w:tcPr>
          <w:p/>
        </w:tc>
        <w:tc>
          <w:tcPr>
            <w:tcW w:type="dxa" w:w="1454"/>
          </w:tcPr>
          <w:p/>
        </w:tc>
        <w:tc>
          <w:tcPr>
            <w:tcW w:type="dxa" w:w="1600"/>
          </w:tcPr>
          <w:p/>
        </w:tc>
        <w:tc>
          <w:tcPr>
            <w:tcW w:type="dxa" w:w="1454"/>
          </w:tcPr>
          <w:p/>
        </w:tc>
        <w:tc>
          <w:tcPr>
            <w:tcW w:type="dxa" w:w="873"/>
          </w:tcPr>
          <w:p/>
        </w:tc>
        <w:tc>
          <w:tcPr>
            <w:tcW w:type="dxa" w:w="2036"/>
          </w:tcPr>
          <w:p/>
        </w:tc>
        <w:tc>
          <w:tcPr>
            <w:tcW w:type="dxa" w:w="2036"/>
          </w:tcPr>
          <w:p/>
        </w:tc>
        <w:tc>
          <w:tcPr>
            <w:tcW w:type="dxa" w:w="2109"/>
          </w:tcPr>
          <w:p/>
        </w:tc>
        <w:tc>
          <w:tcPr>
            <w:tcW w:type="dxa" w:w="1309"/>
          </w:tcPr>
          <w:p/>
        </w:tc>
      </w:tr>
      <w:tr>
        <w:trPr>
          <w:trHeight w:val="432" w:hRule="atLeast"/>
        </w:trPr>
        <w:tc>
          <w:tcPr>
            <w:tcW w:type="dxa" w:w="1673"/>
          </w:tcPr>
          <w:p/>
        </w:tc>
        <w:tc>
          <w:tcPr>
            <w:tcW w:type="dxa" w:w="1454"/>
          </w:tcPr>
          <w:p/>
        </w:tc>
        <w:tc>
          <w:tcPr>
            <w:tcW w:type="dxa" w:w="1600"/>
          </w:tcPr>
          <w:p/>
        </w:tc>
        <w:tc>
          <w:tcPr>
            <w:tcW w:type="dxa" w:w="1454"/>
          </w:tcPr>
          <w:p/>
        </w:tc>
        <w:tc>
          <w:tcPr>
            <w:tcW w:type="dxa" w:w="873"/>
          </w:tcPr>
          <w:p/>
        </w:tc>
        <w:tc>
          <w:tcPr>
            <w:tcW w:type="dxa" w:w="2036"/>
          </w:tcPr>
          <w:p/>
        </w:tc>
        <w:tc>
          <w:tcPr>
            <w:tcW w:type="dxa" w:w="2036"/>
          </w:tcPr>
          <w:p/>
        </w:tc>
        <w:tc>
          <w:tcPr>
            <w:tcW w:type="dxa" w:w="2109"/>
          </w:tcPr>
          <w:p/>
        </w:tc>
        <w:tc>
          <w:tcPr>
            <w:tcW w:type="dxa" w:w="1309"/>
          </w:tcPr>
          <w:p/>
        </w:tc>
      </w:tr>
    </w:tbl>
    <w:p>
      <w:pPr>
        <w:spacing w:after="0" w:before="40"/>
      </w:pPr>
      <w:r>
        <w:rPr>
          <w:b w:val="0"/>
          <w:i/>
          <w:color w:val="64748B"/>
          <w:sz w:val="14"/>
        </w:rPr>
        <w:t>High impact = a wrong or leaked output could hurt a customer, cost money, affect a hiring or employment decision, or breach a contract or regulation. Response options [Manage 1.3]: mitigate (add a control such as human review), transfer (for example by contract or insurance), avoid (do not use AI for this task) or accept (the owner signs off). For HIPAA- or GxP-regulated uses, follow your existing compliance and quality approval process.</w:t>
      </w:r>
    </w:p>
    <w:p>
      <w:pPr>
        <w:spacing w:after="0" w:before="0"/>
      </w:pPr>
      <w:r>
        <w:rPr>
          <w:b w:val="0"/>
          <w:i w:val="0"/>
          <w:sz w:val="8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272"/>
        <w:gridCol w:w="7272"/>
      </w:tblGrid>
      <w:tr>
        <w:tc>
          <w:tcPr>
            <w:tcW w:type="dxa" w:w="8726"/>
          </w:tcPr>
          <w:p>
            <w:r>
              <w:rPr>
                <w:b/>
                <w:color w:val="0369A1"/>
                <w:sz w:val="17"/>
              </w:rPr>
              <w:t>3. AI INCIDENT LOG [Manage 2.4, 4.3]: anyone may stop using a tool for a task; tell the owner and anyone affected. *Regulated incidents also follow your breach or deviation procedure.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1745"/>
              <w:gridCol w:w="1745"/>
              <w:gridCol w:w="1745"/>
              <w:gridCol w:w="1745"/>
              <w:gridCol w:w="1745"/>
            </w:tblGrid>
            <w:tr>
              <w:trPr>
                <w:trHeight w:val="374" w:hRule="atLeast"/>
              </w:trPr>
              <w:tc>
                <w:tcPr>
                  <w:tcW w:type="dxa" w:w="928"/>
                  <w:shd w:val="clear" w:color="auto" w:fill="E0F2FE"/>
                </w:tcPr>
                <w:p>
                  <w:r>
                    <w:rPr>
                      <w:b/>
                      <w:i w:val="0"/>
                      <w:sz w:val="14"/>
                    </w:rPr>
                    <w:t>Date</w:t>
                  </w:r>
                </w:p>
              </w:tc>
              <w:tc>
                <w:tcPr>
                  <w:tcW w:type="dxa" w:w="1350"/>
                  <w:shd w:val="clear" w:color="auto" w:fill="E0F2FE"/>
                </w:tcPr>
                <w:p>
                  <w:r>
                    <w:rPr>
                      <w:b/>
                      <w:i w:val="0"/>
                      <w:sz w:val="14"/>
                    </w:rPr>
                    <w:t>Tool</w:t>
                  </w:r>
                </w:p>
              </w:tc>
              <w:tc>
                <w:tcPr>
                  <w:tcW w:type="dxa" w:w="2446"/>
                  <w:shd w:val="clear" w:color="auto" w:fill="E0F2FE"/>
                </w:tcPr>
                <w:p>
                  <w:r>
                    <w:rPr>
                      <w:b/>
                      <w:i w:val="0"/>
                      <w:sz w:val="14"/>
                    </w:rPr>
                    <w:t>What happened</w:t>
                  </w:r>
                </w:p>
              </w:tc>
              <w:tc>
                <w:tcPr>
                  <w:tcW w:type="dxa" w:w="2025"/>
                  <w:shd w:val="clear" w:color="auto" w:fill="E0F2FE"/>
                </w:tcPr>
                <w:p>
                  <w:r>
                    <w:rPr>
                      <w:b/>
                      <w:i w:val="0"/>
                      <w:sz w:val="14"/>
                    </w:rPr>
                    <w:t>Action taken and by whom</w:t>
                  </w:r>
                </w:p>
              </w:tc>
              <w:tc>
                <w:tcPr>
                  <w:tcW w:type="dxa" w:w="1687"/>
                  <w:shd w:val="clear" w:color="auto" w:fill="E0F2FE"/>
                </w:tcPr>
                <w:p>
                  <w:r>
                    <w:rPr>
                      <w:b/>
                      <w:i w:val="0"/>
                      <w:sz w:val="14"/>
                    </w:rPr>
                    <w:t>Who was told (customer, vendor)*</w:t>
                  </w:r>
                </w:p>
              </w:tc>
            </w:tr>
            <w:tr>
              <w:trPr>
                <w:trHeight w:val="374" w:hRule="atLeast"/>
              </w:trPr>
              <w:tc>
                <w:tcPr>
                  <w:tcW w:type="dxa" w:w="928"/>
                </w:tcPr>
                <w:p/>
              </w:tc>
              <w:tc>
                <w:tcPr>
                  <w:tcW w:type="dxa" w:w="1350"/>
                </w:tcPr>
                <w:p/>
              </w:tc>
              <w:tc>
                <w:tcPr>
                  <w:tcW w:type="dxa" w:w="2446"/>
                </w:tcPr>
                <w:p/>
              </w:tc>
              <w:tc>
                <w:tcPr>
                  <w:tcW w:type="dxa" w:w="2025"/>
                </w:tcPr>
                <w:p/>
              </w:tc>
              <w:tc>
                <w:tcPr>
                  <w:tcW w:type="dxa" w:w="1687"/>
                </w:tcPr>
                <w:p/>
              </w:tc>
            </w:tr>
            <w:tr>
              <w:trPr>
                <w:trHeight w:val="374" w:hRule="atLeast"/>
              </w:trPr>
              <w:tc>
                <w:tcPr>
                  <w:tcW w:type="dxa" w:w="928"/>
                </w:tcPr>
                <w:p/>
              </w:tc>
              <w:tc>
                <w:tcPr>
                  <w:tcW w:type="dxa" w:w="1350"/>
                </w:tcPr>
                <w:p/>
              </w:tc>
              <w:tc>
                <w:tcPr>
                  <w:tcW w:type="dxa" w:w="2446"/>
                </w:tcPr>
                <w:p/>
              </w:tc>
              <w:tc>
                <w:tcPr>
                  <w:tcW w:type="dxa" w:w="2025"/>
                </w:tcPr>
                <w:p/>
              </w:tc>
              <w:tc>
                <w:tcPr>
                  <w:tcW w:type="dxa" w:w="1687"/>
                </w:tcPr>
                <w:p/>
              </w:tc>
            </w:tr>
            <w:tr>
              <w:trPr>
                <w:trHeight w:val="374" w:hRule="atLeast"/>
              </w:trPr>
              <w:tc>
                <w:tcPr>
                  <w:tcW w:type="dxa" w:w="928"/>
                </w:tcPr>
                <w:p/>
              </w:tc>
              <w:tc>
                <w:tcPr>
                  <w:tcW w:type="dxa" w:w="1350"/>
                </w:tcPr>
                <w:p/>
              </w:tc>
              <w:tc>
                <w:tcPr>
                  <w:tcW w:type="dxa" w:w="2446"/>
                </w:tcPr>
                <w:p/>
              </w:tc>
              <w:tc>
                <w:tcPr>
                  <w:tcW w:type="dxa" w:w="2025"/>
                </w:tcPr>
                <w:p/>
              </w:tc>
              <w:tc>
                <w:tcPr>
                  <w:tcW w:type="dxa" w:w="1687"/>
                </w:tcPr>
                <w:p/>
              </w:tc>
            </w:tr>
            <w:tr>
              <w:trPr>
                <w:trHeight w:val="374" w:hRule="atLeast"/>
              </w:trPr>
              <w:tc>
                <w:tcPr>
                  <w:tcW w:type="dxa" w:w="928"/>
                </w:tcPr>
                <w:p/>
              </w:tc>
              <w:tc>
                <w:tcPr>
                  <w:tcW w:type="dxa" w:w="1350"/>
                </w:tcPr>
                <w:p/>
              </w:tc>
              <w:tc>
                <w:tcPr>
                  <w:tcW w:type="dxa" w:w="2446"/>
                </w:tcPr>
                <w:p/>
              </w:tc>
              <w:tc>
                <w:tcPr>
                  <w:tcW w:type="dxa" w:w="2025"/>
                </w:tcPr>
                <w:p/>
              </w:tc>
              <w:tc>
                <w:tcPr>
                  <w:tcW w:type="dxa" w:w="1687"/>
                </w:tcPr>
                <w:p/>
              </w:tc>
            </w:tr>
          </w:tbl>
          <w:p/>
        </w:tc>
        <w:tc>
          <w:tcPr>
            <w:tcW w:type="dxa" w:w="5818"/>
          </w:tcPr>
          <w:p>
            <w:r>
              <w:rPr>
                <w:b/>
                <w:color w:val="0369A1"/>
                <w:sz w:val="17"/>
              </w:rPr>
              <w:t>4. QUARTERLY REVIEW [Govern 1.5, Measure 3.1, Manage 3.1]</w:t>
            </w:r>
          </w:p>
          <w:p>
            <w:pPr>
              <w:spacing w:before="60"/>
            </w:pPr>
            <w:r>
              <w:rPr>
                <w:sz w:val="15"/>
              </w:rPr>
              <w:t>☐  New tools and new AI features in existing software added to the register</w:t>
            </w:r>
          </w:p>
          <w:p>
            <w:pPr>
              <w:spacing w:before="60"/>
            </w:pPr>
            <w:r>
              <w:rPr>
                <w:sz w:val="15"/>
              </w:rPr>
              <w:t>☐  High-impact uses re-tested, or changes since the last test noted</w:t>
            </w:r>
          </w:p>
          <w:p>
            <w:pPr>
              <w:spacing w:before="60"/>
            </w:pPr>
            <w:r>
              <w:rPr>
                <w:sz w:val="15"/>
              </w:rPr>
              <w:t>☐  Vendor terms re-checked for tools whose terms or settings changed</w:t>
            </w:r>
          </w:p>
          <w:p>
            <w:pPr>
              <w:spacing w:before="60"/>
            </w:pPr>
            <w:r>
              <w:rPr>
                <w:sz w:val="15"/>
              </w:rPr>
              <w:t>☐  Incidents reviewed and closed; policy still matches how we work</w:t>
            </w:r>
          </w:p>
          <w:p>
            <w:pPr>
              <w:spacing w:before="60"/>
            </w:pPr>
            <w:r>
              <w:rPr>
                <w:sz w:val="15"/>
              </w:rPr>
              <w:t>Reviewed by ____________________  on ____________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648" w:right="648" w:bottom="792" w:left="648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3"/>
      </w:rPr>
      <w:t>Free from CIO Support (cio.support) by LAN Service Group, Inc. You may copy, edit and use it inside your organization. Based on NIST AI 100-1; not published or endorsed by NIST. General guidance, not legal advice.</w:t>
      <w:br/>
      <w:t>How to fill it in: https://cio.support/ai/nist-ai-rmf-for-small-business/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NIST AI RMF One-Page Worksheet</dc:title>
  <dc:subject>Free one-page NIST AI RMF worksheet for small teams from CIO Support</dc:subject>
  <dc:creator>LAN Service Group, Inc.</dc:creator>
  <cp:keywords>NIST AI RMF worksheet, AI risk register, small business</cp:keywords>
  <dc:description>https://cio.support/ai/nist-ai-rmf-for-small-business/</dc:description>
  <cp:lastModifiedBy>LAN Service Group, Inc.</cp:lastModifiedBy>
  <cp:revision>1</cp:revision>
  <dcterms:created xsi:type="dcterms:W3CDTF">2026-10-17T00:00:00Z</dcterms:created>
  <dcterms:modified xsi:type="dcterms:W3CDTF">2026-10-17T00:00:00Z</dcterms:modified>
  <cp:category/>
</cp:coreProperties>
</file>