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pPr>
      <w:r>
        <w:rPr>
          <w:b/>
          <w:i w:val="0"/>
          <w:color w:val="0369A1"/>
          <w:sz w:val="28"/>
        </w:rPr>
        <w:t>AI Incident Response Plan: One-Page Template for Small Teams</w:t>
      </w:r>
    </w:p>
    <w:p>
      <w:pPr>
        <w:spacing w:after="40" w:before="0"/>
      </w:pPr>
      <w:r>
        <w:rPr>
          <w:b w:val="0"/>
          <w:i/>
          <w:color w:val="64748B"/>
          <w:sz w:val="15"/>
        </w:rPr>
        <w:t>The AI section of your incident response plan. Keep it with your general plan, which covers everything the two share. Bracketed references are the NIST AI RMF outcomes each block supports (NIST AI 100-1).</w:t>
      </w:r>
    </w:p>
    <w:p>
      <w:pPr>
        <w:spacing w:after="60" w:before="0"/>
      </w:pPr>
      <w:r>
        <w:rPr>
          <w:b/>
          <w:i w:val="0"/>
          <w:sz w:val="16"/>
        </w:rPr>
        <w:t>Company: ______________________________    Plan owner: ______________________    Last reviewed: ____________</w:t>
      </w:r>
    </w:p>
    <w:tbl>
      <w:tblPr>
        <w:tblW w:type="auto" w:w="0"/>
        <w:tblLayout w:type="fixed"/>
        <w:tblLook w:firstColumn="1" w:firstRow="1" w:lastColumn="0" w:lastRow="0" w:noHBand="0" w:noVBand="1" w:val="04A0"/>
      </w:tblPr>
      <w:tblGrid>
        <w:gridCol w:w="7272"/>
        <w:gridCol w:w="7272"/>
      </w:tblGrid>
      <w:tr>
        <w:tc>
          <w:tcPr>
            <w:tcW w:type="dxa" w:w="7272"/>
          </w:tcPr>
          <w:p>
            <w:pPr>
              <w:spacing w:after="20" w:before="0"/>
            </w:pPr>
            <w:r>
              <w:rPr>
                <w:b/>
                <w:i w:val="0"/>
                <w:color w:val="0369A1"/>
                <w:sz w:val="16"/>
              </w:rPr>
              <w:t>1. ROLES AND CONTACTS [Govern 2.1, Manage 2.4]: one name and one backup per role; phones must work if email is down</w:t>
            </w:r>
          </w:p>
          <w:tbl>
            <w:tblPr>
              <w:tblStyle w:val="TableGrid"/>
              <w:tblW w:type="auto" w:w="0"/>
              <w:tblLayout w:type="fixed"/>
              <w:tblLook w:firstColumn="1" w:firstRow="1" w:lastColumn="0" w:lastRow="0" w:noHBand="0" w:noVBand="1" w:val="04A0"/>
            </w:tblPr>
            <w:tblGrid>
              <w:gridCol w:w="1818"/>
              <w:gridCol w:w="1818"/>
              <w:gridCol w:w="1818"/>
              <w:gridCol w:w="1818"/>
            </w:tblGrid>
            <w:tr>
              <w:trPr>
                <w:trHeight w:val="374" w:hRule="atLeast"/>
              </w:trPr>
              <w:tc>
                <w:tcPr>
                  <w:tcW w:type="dxa" w:w="2840"/>
                  <w:shd w:val="clear" w:color="auto" w:fill="E0F2FE"/>
                </w:tcPr>
                <w:p>
                  <w:r>
                    <w:rPr>
                      <w:b/>
                      <w:i w:val="0"/>
                      <w:sz w:val="13"/>
                    </w:rPr>
                    <w:t>Role</w:t>
                  </w:r>
                </w:p>
              </w:tc>
              <w:tc>
                <w:tcPr>
                  <w:tcW w:type="dxa" w:w="1349"/>
                  <w:shd w:val="clear" w:color="auto" w:fill="E0F2FE"/>
                </w:tcPr>
                <w:p>
                  <w:r>
                    <w:rPr>
                      <w:b/>
                      <w:i w:val="0"/>
                      <w:sz w:val="13"/>
                    </w:rPr>
                    <w:t>Name</w:t>
                  </w:r>
                </w:p>
              </w:tc>
              <w:tc>
                <w:tcPr>
                  <w:tcW w:type="dxa" w:w="1349"/>
                  <w:shd w:val="clear" w:color="auto" w:fill="E0F2FE"/>
                </w:tcPr>
                <w:p>
                  <w:r>
                    <w:rPr>
                      <w:b/>
                      <w:i w:val="0"/>
                      <w:sz w:val="13"/>
                    </w:rPr>
                    <w:t>Backup</w:t>
                  </w:r>
                </w:p>
              </w:tc>
              <w:tc>
                <w:tcPr>
                  <w:tcW w:type="dxa" w:w="1562"/>
                  <w:shd w:val="clear" w:color="auto" w:fill="E0F2FE"/>
                </w:tcPr>
                <w:p>
                  <w:r>
                    <w:rPr>
                      <w:b/>
                      <w:i w:val="0"/>
                      <w:sz w:val="13"/>
                    </w:rPr>
                    <w:t>Phone / out-of-band contact</w:t>
                  </w:r>
                </w:p>
              </w:tc>
            </w:tr>
            <w:tr>
              <w:trPr>
                <w:trHeight w:val="374" w:hRule="atLeast"/>
              </w:trPr>
              <w:tc>
                <w:tcPr>
                  <w:tcW w:type="dxa" w:w="2840"/>
                  <w:shd w:val="clear" w:color="auto" w:fill="F0F9FF"/>
                </w:tcPr>
                <w:p>
                  <w:r>
                    <w:rPr>
                      <w:b/>
                      <w:i w:val="0"/>
                      <w:sz w:val="13"/>
                    </w:rPr>
                    <w:t>Incident lead (runs the response, keeps the record)</w:t>
                  </w:r>
                </w:p>
              </w:tc>
              <w:tc>
                <w:tcPr>
                  <w:tcW w:type="dxa" w:w="1349"/>
                </w:tcPr>
                <w:p/>
              </w:tc>
              <w:tc>
                <w:tcPr>
                  <w:tcW w:type="dxa" w:w="1349"/>
                </w:tcPr>
                <w:p/>
              </w:tc>
              <w:tc>
                <w:tcPr>
                  <w:tcW w:type="dxa" w:w="1562"/>
                </w:tcPr>
                <w:p/>
              </w:tc>
            </w:tr>
            <w:tr>
              <w:trPr>
                <w:trHeight w:val="374" w:hRule="atLeast"/>
              </w:trPr>
              <w:tc>
                <w:tcPr>
                  <w:tcW w:type="dxa" w:w="2840"/>
                  <w:shd w:val="clear" w:color="auto" w:fill="F0F9FF"/>
                </w:tcPr>
                <w:p>
                  <w:r>
                    <w:rPr>
                      <w:b/>
                      <w:i w:val="0"/>
                      <w:sz w:val="13"/>
                    </w:rPr>
                    <w:t>Decision-maker (switch-off, spend, customer and regulator messages)</w:t>
                  </w:r>
                </w:p>
              </w:tc>
              <w:tc>
                <w:tcPr>
                  <w:tcW w:type="dxa" w:w="1349"/>
                </w:tcPr>
                <w:p/>
              </w:tc>
              <w:tc>
                <w:tcPr>
                  <w:tcW w:type="dxa" w:w="1349"/>
                </w:tcPr>
                <w:p/>
              </w:tc>
              <w:tc>
                <w:tcPr>
                  <w:tcW w:type="dxa" w:w="1562"/>
                </w:tcPr>
                <w:p/>
              </w:tc>
            </w:tr>
            <w:tr>
              <w:trPr>
                <w:trHeight w:val="374" w:hRule="atLeast"/>
              </w:trPr>
              <w:tc>
                <w:tcPr>
                  <w:tcW w:type="dxa" w:w="2840"/>
                  <w:shd w:val="clear" w:color="auto" w:fill="F0F9FF"/>
                </w:tcPr>
                <w:p>
                  <w:r>
                    <w:rPr>
                      <w:b/>
                      <w:i w:val="0"/>
                      <w:sz w:val="13"/>
                    </w:rPr>
                    <w:t>AI tool owner(s) (settings, admin console, vendor contact)</w:t>
                  </w:r>
                </w:p>
              </w:tc>
              <w:tc>
                <w:tcPr>
                  <w:tcW w:type="dxa" w:w="1349"/>
                </w:tcPr>
                <w:p/>
              </w:tc>
              <w:tc>
                <w:tcPr>
                  <w:tcW w:type="dxa" w:w="1349"/>
                </w:tcPr>
                <w:p/>
              </w:tc>
              <w:tc>
                <w:tcPr>
                  <w:tcW w:type="dxa" w:w="1562"/>
                </w:tcPr>
                <w:p/>
              </w:tc>
            </w:tr>
            <w:tr>
              <w:trPr>
                <w:trHeight w:val="374" w:hRule="atLeast"/>
              </w:trPr>
              <w:tc>
                <w:tcPr>
                  <w:tcW w:type="dxa" w:w="2840"/>
                  <w:shd w:val="clear" w:color="auto" w:fill="F0F9FF"/>
                </w:tcPr>
                <w:p>
                  <w:r>
                    <w:rPr>
                      <w:b/>
                      <w:i w:val="0"/>
                      <w:sz w:val="13"/>
                    </w:rPr>
                    <w:t>IT support / managed IT provider (revoke access, preserve logs)</w:t>
                  </w:r>
                </w:p>
              </w:tc>
              <w:tc>
                <w:tcPr>
                  <w:tcW w:type="dxa" w:w="1349"/>
                </w:tcPr>
                <w:p/>
              </w:tc>
              <w:tc>
                <w:tcPr>
                  <w:tcW w:type="dxa" w:w="1349"/>
                </w:tcPr>
                <w:p/>
              </w:tc>
              <w:tc>
                <w:tcPr>
                  <w:tcW w:type="dxa" w:w="1562"/>
                </w:tcPr>
                <w:p/>
              </w:tc>
            </w:tr>
            <w:tr>
              <w:trPr>
                <w:trHeight w:val="374" w:hRule="atLeast"/>
              </w:trPr>
              <w:tc>
                <w:tcPr>
                  <w:tcW w:type="dxa" w:w="2840"/>
                  <w:shd w:val="clear" w:color="auto" w:fill="F0F9FF"/>
                </w:tcPr>
                <w:p>
                  <w:r>
                    <w:rPr>
                      <w:b/>
                      <w:i w:val="0"/>
                      <w:sz w:val="13"/>
                    </w:rPr>
                    <w:t>Legal counsel</w:t>
                  </w:r>
                </w:p>
              </w:tc>
              <w:tc>
                <w:tcPr>
                  <w:tcW w:type="dxa" w:w="1349"/>
                </w:tcPr>
                <w:p/>
              </w:tc>
              <w:tc>
                <w:tcPr>
                  <w:tcW w:type="dxa" w:w="1349"/>
                </w:tcPr>
                <w:p/>
              </w:tc>
              <w:tc>
                <w:tcPr>
                  <w:tcW w:type="dxa" w:w="1562"/>
                </w:tcPr>
                <w:p/>
              </w:tc>
            </w:tr>
            <w:tr>
              <w:trPr>
                <w:trHeight w:val="374" w:hRule="atLeast"/>
              </w:trPr>
              <w:tc>
                <w:tcPr>
                  <w:tcW w:type="dxa" w:w="2840"/>
                  <w:shd w:val="clear" w:color="auto" w:fill="F0F9FF"/>
                </w:tcPr>
                <w:p>
                  <w:r>
                    <w:rPr>
                      <w:b/>
                      <w:i w:val="0"/>
                      <w:sz w:val="13"/>
                    </w:rPr>
                    <w:t>Cyber insurer or broker (policy no.)</w:t>
                  </w:r>
                </w:p>
              </w:tc>
              <w:tc>
                <w:tcPr>
                  <w:tcW w:type="dxa" w:w="1349"/>
                </w:tcPr>
                <w:p/>
              </w:tc>
              <w:tc>
                <w:tcPr>
                  <w:tcW w:type="dxa" w:w="1349"/>
                </w:tcPr>
                <w:p/>
              </w:tc>
              <w:tc>
                <w:tcPr>
                  <w:tcW w:type="dxa" w:w="1562"/>
                </w:tcPr>
                <w:p/>
              </w:tc>
            </w:tr>
            <w:tr>
              <w:trPr>
                <w:trHeight w:val="374" w:hRule="atLeast"/>
              </w:trPr>
              <w:tc>
                <w:tcPr>
                  <w:tcW w:type="dxa" w:w="2840"/>
                  <w:shd w:val="clear" w:color="auto" w:fill="F0F9FF"/>
                </w:tcPr>
                <w:p>
                  <w:r>
                    <w:rPr>
                      <w:b/>
                      <w:i w:val="0"/>
                      <w:sz w:val="13"/>
                    </w:rPr>
                    <w:t>Bank (fraud line)</w:t>
                  </w:r>
                </w:p>
              </w:tc>
              <w:tc>
                <w:tcPr>
                  <w:tcW w:type="dxa" w:w="1349"/>
                </w:tcPr>
                <w:p/>
              </w:tc>
              <w:tc>
                <w:tcPr>
                  <w:tcW w:type="dxa" w:w="1349"/>
                </w:tcPr>
                <w:p/>
              </w:tc>
              <w:tc>
                <w:tcPr>
                  <w:tcW w:type="dxa" w:w="1562"/>
                </w:tcPr>
                <w:p/>
              </w:tc>
            </w:tr>
            <w:tr>
              <w:trPr>
                <w:trHeight w:val="374" w:hRule="atLeast"/>
              </w:trPr>
              <w:tc>
                <w:tcPr>
                  <w:tcW w:type="dxa" w:w="2840"/>
                  <w:shd w:val="clear" w:color="auto" w:fill="F0F9FF"/>
                </w:tcPr>
                <w:p>
                  <w:r>
                    <w:rPr>
                      <w:b/>
                      <w:i w:val="0"/>
                      <w:sz w:val="13"/>
                    </w:rPr>
                    <w:t>AI vendor support / security contacts</w:t>
                  </w:r>
                </w:p>
              </w:tc>
              <w:tc>
                <w:tcPr>
                  <w:tcW w:type="dxa" w:w="1349"/>
                </w:tcPr>
                <w:p/>
              </w:tc>
              <w:tc>
                <w:tcPr>
                  <w:tcW w:type="dxa" w:w="1349"/>
                </w:tcPr>
                <w:p/>
              </w:tc>
              <w:tc>
                <w:tcPr>
                  <w:tcW w:type="dxa" w:w="1562"/>
                </w:tcPr>
                <w:p/>
              </w:tc>
            </w:tr>
          </w:tbl>
          <w:p/>
        </w:tc>
        <w:tc>
          <w:tcPr>
            <w:tcW w:type="dxa" w:w="7272"/>
          </w:tcPr>
          <w:p>
            <w:pPr>
              <w:spacing w:after="20" w:before="0"/>
            </w:pPr>
            <w:r>
              <w:rPr>
                <w:b/>
                <w:i w:val="0"/>
                <w:color w:val="0369A1"/>
                <w:sz w:val="16"/>
              </w:rPr>
              <w:t>2. WHAT COUNTS AS AN AI INCIDENT, AND THE FIRST MOVE [Govern 4.3, Manage 4.3]</w:t>
            </w:r>
          </w:p>
          <w:tbl>
            <w:tblPr>
              <w:tblStyle w:val="TableGrid"/>
              <w:tblW w:type="auto" w:w="0"/>
              <w:tblLayout w:type="fixed"/>
              <w:tblLook w:firstColumn="1" w:firstRow="1" w:lastColumn="0" w:lastRow="0" w:noHBand="0" w:noVBand="1" w:val="04A0"/>
            </w:tblPr>
            <w:tblGrid>
              <w:gridCol w:w="3636"/>
              <w:gridCol w:w="3636"/>
            </w:tblGrid>
            <w:tr>
              <w:trPr>
                <w:trHeight w:val="317" w:hRule="atLeast"/>
              </w:trPr>
              <w:tc>
                <w:tcPr>
                  <w:tcW w:type="dxa" w:w="2982"/>
                  <w:shd w:val="clear" w:color="auto" w:fill="E0F2FE"/>
                </w:tcPr>
                <w:p>
                  <w:r>
                    <w:rPr>
                      <w:b/>
                      <w:i w:val="0"/>
                      <w:sz w:val="13"/>
                    </w:rPr>
                    <w:t>Incident</w:t>
                  </w:r>
                </w:p>
              </w:tc>
              <w:tc>
                <w:tcPr>
                  <w:tcW w:type="dxa" w:w="4118"/>
                  <w:shd w:val="clear" w:color="auto" w:fill="E0F2FE"/>
                </w:tcPr>
                <w:p>
                  <w:r>
                    <w:rPr>
                      <w:b/>
                      <w:i w:val="0"/>
                      <w:sz w:val="13"/>
                    </w:rPr>
                    <w:t>First move</w:t>
                  </w:r>
                </w:p>
              </w:tc>
            </w:tr>
            <w:tr>
              <w:trPr>
                <w:trHeight w:val="317" w:hRule="atLeast"/>
              </w:trPr>
              <w:tc>
                <w:tcPr>
                  <w:tcW w:type="dxa" w:w="2982"/>
                </w:tcPr>
                <w:p>
                  <w:r>
                    <w:rPr>
                      <w:b/>
                      <w:i w:val="0"/>
                      <w:sz w:val="13"/>
                    </w:rPr>
                    <w:t>Sensitive data put into an AI tool not approved for it</w:t>
                  </w:r>
                </w:p>
              </w:tc>
              <w:tc>
                <w:tcPr>
                  <w:tcW w:type="dxa" w:w="4118"/>
                </w:tcPr>
                <w:p>
                  <w:r>
                    <w:rPr>
                      <w:b w:val="0"/>
                      <w:i w:val="0"/>
                      <w:sz w:val="13"/>
                    </w:rPr>
                    <w:t>Record data, tool, account, time; screenshot, do not delete yet. Stop use. Check retention/deletion and notification duties.</w:t>
                  </w:r>
                </w:p>
              </w:tc>
            </w:tr>
            <w:tr>
              <w:trPr>
                <w:trHeight w:val="317" w:hRule="atLeast"/>
              </w:trPr>
              <w:tc>
                <w:tcPr>
                  <w:tcW w:type="dxa" w:w="2982"/>
                </w:tcPr>
                <w:p>
                  <w:r>
                    <w:rPr>
                      <w:b/>
                      <w:i w:val="0"/>
                      <w:sz w:val="13"/>
                    </w:rPr>
                    <w:t>Wrong or harmful AI output reached a customer or a decision</w:t>
                  </w:r>
                </w:p>
              </w:tc>
              <w:tc>
                <w:tcPr>
                  <w:tcW w:type="dxa" w:w="4118"/>
                </w:tcPr>
                <w:p>
                  <w:r>
                    <w:rPr>
                      <w:b w:val="0"/>
                      <w:i w:val="0"/>
                      <w:sz w:val="13"/>
                    </w:rPr>
                    <w:t>Correct or withdraw it, tell recipients, check the tool's other output.</w:t>
                  </w:r>
                </w:p>
              </w:tc>
            </w:tr>
            <w:tr>
              <w:trPr>
                <w:trHeight w:val="317" w:hRule="atLeast"/>
              </w:trPr>
              <w:tc>
                <w:tcPr>
                  <w:tcW w:type="dxa" w:w="2982"/>
                </w:tcPr>
                <w:p>
                  <w:r>
                    <w:rPr>
                      <w:b/>
                      <w:i w:val="0"/>
                      <w:sz w:val="13"/>
                    </w:rPr>
                    <w:t>AI assistant or agent manipulated (prompt injection) or acted unapproved</w:t>
                  </w:r>
                </w:p>
              </w:tc>
              <w:tc>
                <w:tcPr>
                  <w:tcW w:type="dxa" w:w="4118"/>
                </w:tcPr>
                <w:p>
                  <w:r>
                    <w:rPr>
                      <w:b w:val="0"/>
                      <w:i w:val="0"/>
                      <w:sz w:val="13"/>
                    </w:rPr>
                    <w:t>Turn off the connector, revoke its tokens or keys, review what it did.</w:t>
                  </w:r>
                </w:p>
              </w:tc>
            </w:tr>
            <w:tr>
              <w:trPr>
                <w:trHeight w:val="317" w:hRule="atLeast"/>
              </w:trPr>
              <w:tc>
                <w:tcPr>
                  <w:tcW w:type="dxa" w:w="2982"/>
                </w:tcPr>
                <w:p>
                  <w:r>
                    <w:rPr>
                      <w:b/>
                      <w:i w:val="0"/>
                      <w:sz w:val="13"/>
                    </w:rPr>
                    <w:t>AI-enabled impersonation: cloned voice, fake video, AI-written request</w:t>
                  </w:r>
                </w:p>
              </w:tc>
              <w:tc>
                <w:tcPr>
                  <w:tcW w:type="dxa" w:w="4118"/>
                </w:tcPr>
                <w:p>
                  <w:r>
                    <w:rPr>
                      <w:b w:val="0"/>
                      <w:i w:val="0"/>
                      <w:sz w:val="13"/>
                    </w:rPr>
                    <w:t>Do not act. Verify on a number you already have. Call the bank if money moved. Report at ic3.gov.</w:t>
                  </w:r>
                </w:p>
              </w:tc>
            </w:tr>
            <w:tr>
              <w:trPr>
                <w:trHeight w:val="317" w:hRule="atLeast"/>
              </w:trPr>
              <w:tc>
                <w:tcPr>
                  <w:tcW w:type="dxa" w:w="2982"/>
                </w:tcPr>
                <w:p>
                  <w:r>
                    <w:rPr>
                      <w:b/>
                      <w:i w:val="0"/>
                      <w:sz w:val="13"/>
                    </w:rPr>
                    <w:t>Incident or outage at an AI vendor</w:t>
                  </w:r>
                </w:p>
              </w:tc>
              <w:tc>
                <w:tcPr>
                  <w:tcW w:type="dxa" w:w="4118"/>
                </w:tcPr>
                <w:p>
                  <w:r>
                    <w:rPr>
                      <w:b w:val="0"/>
                      <w:i w:val="0"/>
                      <w:sz w:val="13"/>
                    </w:rPr>
                    <w:t>Follow the vendor notice, rotate keys and passwords, decide whether to pause, use the manual fallback.</w:t>
                  </w:r>
                </w:p>
              </w:tc>
            </w:tr>
          </w:tbl>
          <w:p/>
        </w:tc>
      </w:tr>
    </w:tbl>
    <w:p>
      <w:pPr>
        <w:spacing w:after="0" w:before="0"/>
      </w:pPr>
      <w:r>
        <w:rPr>
          <w:b w:val="0"/>
          <w:i w:val="0"/>
          <w:sz w:val="6"/>
        </w:rPr>
      </w:r>
    </w:p>
    <w:tbl>
      <w:tblPr>
        <w:tblW w:type="auto" w:w="0"/>
        <w:tblLayout w:type="fixed"/>
        <w:tblLook w:firstColumn="1" w:firstRow="1" w:lastColumn="0" w:lastRow="0" w:noHBand="0" w:noVBand="1" w:val="04A0"/>
      </w:tblPr>
      <w:tblGrid>
        <w:gridCol w:w="7272"/>
        <w:gridCol w:w="7272"/>
      </w:tblGrid>
      <w:tr>
        <w:tc>
          <w:tcPr>
            <w:tcW w:type="dxa" w:w="7272"/>
          </w:tcPr>
          <w:p>
            <w:pPr>
              <w:spacing w:after="20" w:before="0"/>
            </w:pPr>
            <w:r>
              <w:rPr>
                <w:b/>
                <w:i w:val="0"/>
                <w:color w:val="0369A1"/>
                <w:sz w:val="16"/>
              </w:rPr>
              <w:t>3. SEVEN STEPS [Manage 2.4, 4.1, 4.3]: tick and time each one</w:t>
            </w:r>
          </w:p>
          <w:p>
            <w:pPr>
              <w:spacing w:after="0" w:before="70"/>
            </w:pPr>
            <w:r>
              <w:rPr>
                <w:b w:val="0"/>
                <w:i w:val="0"/>
                <w:sz w:val="14"/>
              </w:rPr>
              <w:t>☐  1. Report to the incident lead (blame-free)</w:t>
            </w:r>
            <w:r>
              <w:rPr>
                <w:sz w:val="14"/>
              </w:rPr>
              <w:t xml:space="preserve">   time ______</w:t>
            </w:r>
          </w:p>
          <w:p>
            <w:pPr>
              <w:spacing w:after="0" w:before="70"/>
            </w:pPr>
            <w:r>
              <w:rPr>
                <w:b w:val="0"/>
                <w:i w:val="0"/>
                <w:sz w:val="14"/>
              </w:rPr>
              <w:t>☐  2. Stop or restrict the tool (disable, do not uninstall); use the manual fallback</w:t>
            </w:r>
            <w:r>
              <w:rPr>
                <w:sz w:val="14"/>
              </w:rPr>
              <w:t xml:space="preserve">   time ______</w:t>
            </w:r>
          </w:p>
          <w:p>
            <w:pPr>
              <w:spacing w:after="0" w:before="70"/>
            </w:pPr>
            <w:r>
              <w:rPr>
                <w:b w:val="0"/>
                <w:i w:val="0"/>
                <w:sz w:val="14"/>
              </w:rPr>
              <w:t>☐  3. Preserve evidence: prompts, outputs, chat history, logs, agent actions</w:t>
            </w:r>
            <w:r>
              <w:rPr>
                <w:sz w:val="14"/>
              </w:rPr>
              <w:t xml:space="preserve">   time ______</w:t>
            </w:r>
          </w:p>
          <w:p>
            <w:pPr>
              <w:spacing w:after="0" w:before="70"/>
            </w:pPr>
            <w:r>
              <w:rPr>
                <w:b w:val="0"/>
                <w:i w:val="0"/>
                <w:sz w:val="14"/>
              </w:rPr>
              <w:t>☐  4. Assess: what data, whose, how many, did output reach anyone</w:t>
            </w:r>
            <w:r>
              <w:rPr>
                <w:sz w:val="14"/>
              </w:rPr>
              <w:t xml:space="preserve">   time ______</w:t>
            </w:r>
          </w:p>
          <w:p>
            <w:pPr>
              <w:spacing w:after="0" w:before="70"/>
            </w:pPr>
            <w:r>
              <w:rPr>
                <w:b w:val="0"/>
                <w:i w:val="0"/>
                <w:sz w:val="14"/>
              </w:rPr>
              <w:t>☐  5. Notify: decision-maker decides, with counsel if personal data</w:t>
            </w:r>
            <w:r>
              <w:rPr>
                <w:sz w:val="14"/>
              </w:rPr>
              <w:t xml:space="preserve">   time ______</w:t>
            </w:r>
          </w:p>
          <w:p>
            <w:pPr>
              <w:spacing w:after="0" w:before="70"/>
            </w:pPr>
            <w:r>
              <w:rPr>
                <w:b w:val="0"/>
                <w:i w:val="0"/>
                <w:sz w:val="14"/>
              </w:rPr>
              <w:t>☐  6. Fix and recover: correct output, change settings, update policy</w:t>
            </w:r>
            <w:r>
              <w:rPr>
                <w:sz w:val="14"/>
              </w:rPr>
              <w:t xml:space="preserve">   time ______</w:t>
            </w:r>
          </w:p>
          <w:p>
            <w:pPr>
              <w:spacing w:after="0" w:before="70"/>
            </w:pPr>
            <w:r>
              <w:rPr>
                <w:b w:val="0"/>
                <w:i w:val="0"/>
                <w:sz w:val="14"/>
              </w:rPr>
              <w:t>☐  7. Review within two weeks; update this plan</w:t>
            </w:r>
            <w:r>
              <w:rPr>
                <w:sz w:val="14"/>
              </w:rPr>
              <w:t xml:space="preserve">   time ______</w:t>
            </w:r>
          </w:p>
        </w:tc>
        <w:tc>
          <w:tcPr>
            <w:tcW w:type="dxa" w:w="7272"/>
          </w:tcPr>
          <w:p>
            <w:pPr>
              <w:spacing w:after="20" w:before="0"/>
            </w:pPr>
            <w:r>
              <w:rPr>
                <w:b/>
                <w:i w:val="0"/>
                <w:color w:val="0369A1"/>
                <w:sz w:val="16"/>
              </w:rPr>
              <w:t>4. NOTIFICATION DUTIES TO CHECK [Manage 4.3]: fill in before an incident</w:t>
            </w:r>
          </w:p>
          <w:tbl>
            <w:tblPr>
              <w:tblStyle w:val="TableGrid"/>
              <w:tblW w:type="auto" w:w="0"/>
              <w:tblLayout w:type="fixed"/>
              <w:tblLook w:firstColumn="1" w:firstRow="1" w:lastColumn="0" w:lastRow="0" w:noHBand="0" w:noVBand="1" w:val="04A0"/>
            </w:tblPr>
            <w:tblGrid>
              <w:gridCol w:w="2424"/>
              <w:gridCol w:w="2424"/>
              <w:gridCol w:w="2424"/>
            </w:tblGrid>
            <w:tr>
              <w:trPr>
                <w:trHeight w:val="331" w:hRule="atLeast"/>
              </w:trPr>
              <w:tc>
                <w:tcPr>
                  <w:tcW w:type="dxa" w:w="3692"/>
                  <w:shd w:val="clear" w:color="auto" w:fill="E0F2FE"/>
                </w:tcPr>
                <w:p>
                  <w:r>
                    <w:rPr>
                      <w:b/>
                      <w:i w:val="0"/>
                      <w:sz w:val="13"/>
                    </w:rPr>
                    <w:t>Duty</w:t>
                  </w:r>
                </w:p>
              </w:tc>
              <w:tc>
                <w:tcPr>
                  <w:tcW w:type="dxa" w:w="1988"/>
                  <w:shd w:val="clear" w:color="auto" w:fill="E0F2FE"/>
                </w:tcPr>
                <w:p>
                  <w:r>
                    <w:rPr>
                      <w:b/>
                      <w:i w:val="0"/>
                      <w:sz w:val="13"/>
                    </w:rPr>
                    <w:t>Applies? Deadline</w:t>
                  </w:r>
                </w:p>
              </w:tc>
              <w:tc>
                <w:tcPr>
                  <w:tcW w:type="dxa" w:w="1420"/>
                  <w:shd w:val="clear" w:color="auto" w:fill="E0F2FE"/>
                </w:tcPr>
                <w:p>
                  <w:r>
                    <w:rPr>
                      <w:b/>
                      <w:i w:val="0"/>
                      <w:sz w:val="13"/>
                    </w:rPr>
                    <w:t>Owner</w:t>
                  </w:r>
                </w:p>
              </w:tc>
            </w:tr>
            <w:tr>
              <w:trPr>
                <w:trHeight w:val="331" w:hRule="atLeast"/>
              </w:trPr>
              <w:tc>
                <w:tcPr>
                  <w:tcW w:type="dxa" w:w="3692"/>
                </w:tcPr>
                <w:p>
                  <w:r>
                    <w:rPr>
                      <w:b/>
                      <w:i w:val="0"/>
                      <w:sz w:val="13"/>
                    </w:rPr>
                    <w:t>Customer contracts (notice clauses)</w:t>
                  </w:r>
                </w:p>
              </w:tc>
              <w:tc>
                <w:tcPr>
                  <w:tcW w:type="dxa" w:w="1988"/>
                </w:tcPr>
                <w:p/>
              </w:tc>
              <w:tc>
                <w:tcPr>
                  <w:tcW w:type="dxa" w:w="1420"/>
                </w:tcPr>
                <w:p/>
              </w:tc>
            </w:tr>
            <w:tr>
              <w:trPr>
                <w:trHeight w:val="331" w:hRule="atLeast"/>
              </w:trPr>
              <w:tc>
                <w:tcPr>
                  <w:tcW w:type="dxa" w:w="3692"/>
                </w:tcPr>
                <w:p>
                  <w:r>
                    <w:rPr>
                      <w:b/>
                      <w:i w:val="0"/>
                      <w:sz w:val="13"/>
                    </w:rPr>
                    <w:t>Cyber insurance policy (notice requirement)</w:t>
                  </w:r>
                </w:p>
              </w:tc>
              <w:tc>
                <w:tcPr>
                  <w:tcW w:type="dxa" w:w="1988"/>
                </w:tcPr>
                <w:p/>
              </w:tc>
              <w:tc>
                <w:tcPr>
                  <w:tcW w:type="dxa" w:w="1420"/>
                </w:tcPr>
                <w:p/>
              </w:tc>
            </w:tr>
            <w:tr>
              <w:trPr>
                <w:trHeight w:val="331" w:hRule="atLeast"/>
              </w:trPr>
              <w:tc>
                <w:tcPr>
                  <w:tcW w:type="dxa" w:w="3692"/>
                </w:tcPr>
                <w:p>
                  <w:r>
                    <w:rPr>
                      <w:b/>
                      <w:i w:val="0"/>
                      <w:sz w:val="13"/>
                    </w:rPr>
                    <w:t>State breach laws where affected people live</w:t>
                  </w:r>
                </w:p>
              </w:tc>
              <w:tc>
                <w:tcPr>
                  <w:tcW w:type="dxa" w:w="1988"/>
                </w:tcPr>
                <w:p/>
              </w:tc>
              <w:tc>
                <w:tcPr>
                  <w:tcW w:type="dxa" w:w="1420"/>
                </w:tcPr>
                <w:p/>
              </w:tc>
            </w:tr>
            <w:tr>
              <w:trPr>
                <w:trHeight w:val="331" w:hRule="atLeast"/>
              </w:trPr>
              <w:tc>
                <w:tcPr>
                  <w:tcW w:type="dxa" w:w="3692"/>
                </w:tcPr>
                <w:p>
                  <w:r>
                    <w:rPr>
                      <w:b/>
                      <w:i w:val="0"/>
                      <w:sz w:val="13"/>
                    </w:rPr>
                    <w:t>HIPAA, if a covered entity or business associate</w:t>
                  </w:r>
                </w:p>
              </w:tc>
              <w:tc>
                <w:tcPr>
                  <w:tcW w:type="dxa" w:w="1988"/>
                </w:tcPr>
                <w:p/>
              </w:tc>
              <w:tc>
                <w:tcPr>
                  <w:tcW w:type="dxa" w:w="1420"/>
                </w:tcPr>
                <w:p/>
              </w:tc>
            </w:tr>
            <w:tr>
              <w:trPr>
                <w:trHeight w:val="331" w:hRule="atLeast"/>
              </w:trPr>
              <w:tc>
                <w:tcPr>
                  <w:tcW w:type="dxa" w:w="3692"/>
                </w:tcPr>
                <w:p>
                  <w:r>
                    <w:rPr>
                      <w:b/>
                      <w:i w:val="0"/>
                      <w:sz w:val="13"/>
                    </w:rPr>
                    <w:t>Government contracts, if any</w:t>
                  </w:r>
                </w:p>
              </w:tc>
              <w:tc>
                <w:tcPr>
                  <w:tcW w:type="dxa" w:w="1988"/>
                </w:tcPr>
                <w:p/>
              </w:tc>
              <w:tc>
                <w:tcPr>
                  <w:tcW w:type="dxa" w:w="1420"/>
                </w:tcPr>
                <w:p/>
              </w:tc>
            </w:tr>
            <w:tr>
              <w:trPr>
                <w:trHeight w:val="331" w:hRule="atLeast"/>
              </w:trPr>
              <w:tc>
                <w:tcPr>
                  <w:tcW w:type="dxa" w:w="3692"/>
                </w:tcPr>
                <w:p>
                  <w:r>
                    <w:rPr>
                      <w:b/>
                      <w:i w:val="0"/>
                      <w:sz w:val="13"/>
                    </w:rPr>
                    <w:t>Other (regulator, lender, partner)</w:t>
                  </w:r>
                </w:p>
              </w:tc>
              <w:tc>
                <w:tcPr>
                  <w:tcW w:type="dxa" w:w="1988"/>
                </w:tcPr>
                <w:p/>
              </w:tc>
              <w:tc>
                <w:tcPr>
                  <w:tcW w:type="dxa" w:w="1420"/>
                </w:tcPr>
                <w:p/>
              </w:tc>
            </w:tr>
          </w:tbl>
          <w:p/>
        </w:tc>
      </w:tr>
    </w:tbl>
    <w:p>
      <w:pPr>
        <w:spacing w:after="20" w:before="80"/>
      </w:pPr>
      <w:r>
        <w:rPr>
          <w:b/>
          <w:i w:val="0"/>
          <w:color w:val="0369A1"/>
          <w:sz w:val="16"/>
        </w:rPr>
        <w:t>5. INCIDENT RECORD [Manage 4.3]</w:t>
      </w:r>
    </w:p>
    <w:tbl>
      <w:tblPr>
        <w:tblStyle w:val="TableGrid"/>
        <w:tblW w:type="auto" w:w="0"/>
        <w:tblLayout w:type="fixed"/>
        <w:tblLook w:firstColumn="1" w:firstRow="1" w:lastColumn="0" w:lastRow="0" w:noHBand="0" w:noVBand="1" w:val="04A0"/>
      </w:tblPr>
      <w:tblGrid>
        <w:gridCol w:w="2424"/>
        <w:gridCol w:w="2424"/>
        <w:gridCol w:w="2424"/>
        <w:gridCol w:w="2424"/>
        <w:gridCol w:w="2424"/>
        <w:gridCol w:w="2424"/>
      </w:tblGrid>
      <w:tr>
        <w:trPr>
          <w:trHeight w:val="432" w:hRule="atLeast"/>
        </w:trPr>
        <w:tc>
          <w:tcPr>
            <w:tcW w:type="dxa" w:w="1454"/>
            <w:shd w:val="clear" w:color="auto" w:fill="E0F2FE"/>
          </w:tcPr>
          <w:p>
            <w:r>
              <w:rPr>
                <w:b/>
                <w:i w:val="0"/>
                <w:sz w:val="13"/>
              </w:rPr>
              <w:t>Date found</w:t>
            </w:r>
          </w:p>
        </w:tc>
        <w:tc>
          <w:tcPr>
            <w:tcW w:type="dxa" w:w="1745"/>
            <w:shd w:val="clear" w:color="auto" w:fill="E0F2FE"/>
          </w:tcPr>
          <w:p>
            <w:r>
              <w:rPr>
                <w:b/>
                <w:i w:val="0"/>
                <w:sz w:val="13"/>
              </w:rPr>
              <w:t>Tool</w:t>
            </w:r>
          </w:p>
        </w:tc>
        <w:tc>
          <w:tcPr>
            <w:tcW w:type="dxa" w:w="3491"/>
            <w:shd w:val="clear" w:color="auto" w:fill="E0F2FE"/>
          </w:tcPr>
          <w:p>
            <w:r>
              <w:rPr>
                <w:b/>
                <w:i w:val="0"/>
                <w:sz w:val="13"/>
              </w:rPr>
              <w:t>What happened</w:t>
            </w:r>
          </w:p>
        </w:tc>
        <w:tc>
          <w:tcPr>
            <w:tcW w:type="dxa" w:w="2327"/>
            <w:shd w:val="clear" w:color="auto" w:fill="E0F2FE"/>
          </w:tcPr>
          <w:p>
            <w:r>
              <w:rPr>
                <w:b/>
                <w:i w:val="0"/>
                <w:sz w:val="13"/>
              </w:rPr>
              <w:t>Data involved</w:t>
            </w:r>
          </w:p>
        </w:tc>
        <w:tc>
          <w:tcPr>
            <w:tcW w:type="dxa" w:w="2618"/>
            <w:shd w:val="clear" w:color="auto" w:fill="E0F2FE"/>
          </w:tcPr>
          <w:p>
            <w:r>
              <w:rPr>
                <w:b/>
                <w:i w:val="0"/>
                <w:sz w:val="13"/>
              </w:rPr>
              <w:t>Who was told, when</w:t>
            </w:r>
          </w:p>
        </w:tc>
        <w:tc>
          <w:tcPr>
            <w:tcW w:type="dxa" w:w="2909"/>
            <w:shd w:val="clear" w:color="auto" w:fill="E0F2FE"/>
          </w:tcPr>
          <w:p>
            <w:r>
              <w:rPr>
                <w:b/>
                <w:i w:val="0"/>
                <w:sz w:val="13"/>
              </w:rPr>
              <w:t>Follow-up action, owner</w:t>
            </w:r>
          </w:p>
        </w:tc>
      </w:tr>
      <w:tr>
        <w:trPr>
          <w:trHeight w:val="432" w:hRule="atLeast"/>
        </w:trPr>
        <w:tc>
          <w:tcPr>
            <w:tcW w:type="dxa" w:w="1454"/>
          </w:tcPr>
          <w:p/>
        </w:tc>
        <w:tc>
          <w:tcPr>
            <w:tcW w:type="dxa" w:w="1745"/>
          </w:tcPr>
          <w:p/>
        </w:tc>
        <w:tc>
          <w:tcPr>
            <w:tcW w:type="dxa" w:w="3491"/>
          </w:tcPr>
          <w:p/>
        </w:tc>
        <w:tc>
          <w:tcPr>
            <w:tcW w:type="dxa" w:w="2327"/>
          </w:tcPr>
          <w:p/>
        </w:tc>
        <w:tc>
          <w:tcPr>
            <w:tcW w:type="dxa" w:w="2618"/>
          </w:tcPr>
          <w:p/>
        </w:tc>
        <w:tc>
          <w:tcPr>
            <w:tcW w:type="dxa" w:w="2909"/>
          </w:tcPr>
          <w:p/>
        </w:tc>
      </w:tr>
      <w:tr>
        <w:trPr>
          <w:trHeight w:val="432" w:hRule="atLeast"/>
        </w:trPr>
        <w:tc>
          <w:tcPr>
            <w:tcW w:type="dxa" w:w="1454"/>
          </w:tcPr>
          <w:p/>
        </w:tc>
        <w:tc>
          <w:tcPr>
            <w:tcW w:type="dxa" w:w="1745"/>
          </w:tcPr>
          <w:p/>
        </w:tc>
        <w:tc>
          <w:tcPr>
            <w:tcW w:type="dxa" w:w="3491"/>
          </w:tcPr>
          <w:p/>
        </w:tc>
        <w:tc>
          <w:tcPr>
            <w:tcW w:type="dxa" w:w="2327"/>
          </w:tcPr>
          <w:p/>
        </w:tc>
        <w:tc>
          <w:tcPr>
            <w:tcW w:type="dxa" w:w="2618"/>
          </w:tcPr>
          <w:p/>
        </w:tc>
        <w:tc>
          <w:tcPr>
            <w:tcW w:type="dxa" w:w="2909"/>
          </w:tcPr>
          <w:p/>
        </w:tc>
      </w:tr>
      <w:tr>
        <w:trPr>
          <w:trHeight w:val="432" w:hRule="atLeast"/>
        </w:trPr>
        <w:tc>
          <w:tcPr>
            <w:tcW w:type="dxa" w:w="1454"/>
          </w:tcPr>
          <w:p/>
        </w:tc>
        <w:tc>
          <w:tcPr>
            <w:tcW w:type="dxa" w:w="1745"/>
          </w:tcPr>
          <w:p/>
        </w:tc>
        <w:tc>
          <w:tcPr>
            <w:tcW w:type="dxa" w:w="3491"/>
          </w:tcPr>
          <w:p/>
        </w:tc>
        <w:tc>
          <w:tcPr>
            <w:tcW w:type="dxa" w:w="2327"/>
          </w:tcPr>
          <w:p/>
        </w:tc>
        <w:tc>
          <w:tcPr>
            <w:tcW w:type="dxa" w:w="2618"/>
          </w:tcPr>
          <w:p/>
        </w:tc>
        <w:tc>
          <w:tcPr>
            <w:tcW w:type="dxa" w:w="2909"/>
          </w:tcPr>
          <w:p/>
        </w:tc>
      </w:tr>
    </w:tbl>
    <w:sectPr w:rsidR="00FC693F" w:rsidRPr="0006063C" w:rsidSect="00034616">
      <w:footerReference w:type="default" r:id="rId9"/>
      <w:pgSz w:w="15840" w:h="12240" w:orient="landscape"/>
      <w:pgMar w:top="648" w:right="648" w:bottom="792" w:left="648" w:header="72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4748B"/>
        <w:sz w:val="13"/>
      </w:rPr>
      <w:t>Free from CIO Support (cio.support) by LAN Service Group, Inc. You may copy, edit and use it inside your organization. Based on NIST AI 100-1 and NIST AI 600-1; not published or endorsed by NIST. General guidance, not legal advice.</w:t>
      <w:br/>
      <w:t>How to fill it in: https://cio.support/ai/ai-incident-response-plan-for-small-business/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before="0"/>
    </w:pPr>
    <w:rPr>
      <w:rFonts w:ascii="Calibri" w:hAnsi="Calibri"/>
      <w:sz w:val="1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Incident Response Plan: One-Page Template</dc:title>
  <dc:subject>Free one-page AI incident response plan template for small teams from CIO Support</dc:subject>
  <dc:creator>LAN Service Group, Inc.</dc:creator>
  <cp:keywords>AI incident response plan template, AI incident, small business</cp:keywords>
  <dc:description>https://cio.support/ai/ai-incident-response-plan-for-small-business/</dc:description>
  <cp:lastModifiedBy>LAN Service Group, Inc.</cp:lastModifiedBy>
  <cp:revision>1</cp:revision>
  <dcterms:created xsi:type="dcterms:W3CDTF">2026-10-19T00:00:00Z</dcterms:created>
  <dcterms:modified xsi:type="dcterms:W3CDTF">2026-10-19T00:00:00Z</dcterms:modified>
  <cp:category/>
</cp:coreProperties>
</file>